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40"/>
        <w:jc w:val="center"/>
        <w:rPr>
          <w:rFonts w:ascii="Times New Roman" w:hAnsi="Times New Roman"/>
          <w:b/>
          <w:bCs/>
          <w:sz w:val="24"/>
          <w:szCs w:val="24"/>
        </w:rPr>
      </w:pPr>
    </w:p>
    <w:p>
      <w:pPr>
        <w:pStyle w:val="style0"/>
        <w:spacing w:lineRule="auto" w:line="240"/>
        <w:jc w:val="center"/>
        <w:rPr>
          <w:rFonts w:ascii="Times New Roman" w:hAnsi="Times New Roman"/>
          <w:b/>
          <w:bCs/>
          <w:sz w:val="24"/>
          <w:szCs w:val="24"/>
        </w:rPr>
      </w:pPr>
    </w:p>
    <w:p>
      <w:pPr>
        <w:pStyle w:val="style0"/>
        <w:spacing w:lineRule="auto" w:line="240"/>
        <w:jc w:val="center"/>
        <w:rPr>
          <w:rFonts w:ascii="Times New Roman" w:hAnsi="Times New Roman"/>
          <w:b/>
          <w:bCs/>
          <w:sz w:val="24"/>
          <w:szCs w:val="24"/>
        </w:rPr>
      </w:pPr>
    </w:p>
    <w:p>
      <w:pPr>
        <w:pStyle w:val="style0"/>
        <w:spacing w:lineRule="auto" w:line="240"/>
        <w:jc w:val="center"/>
        <w:rPr>
          <w:rFonts w:ascii="Times New Roman" w:hAnsi="Times New Roman"/>
          <w:b/>
          <w:bCs/>
          <w:sz w:val="24"/>
          <w:szCs w:val="24"/>
        </w:rPr>
      </w:pPr>
    </w:p>
    <w:p>
      <w:pPr>
        <w:pStyle w:val="style0"/>
        <w:spacing w:lineRule="auto" w:line="240"/>
        <w:jc w:val="center"/>
        <w:rPr>
          <w:rFonts w:ascii="Times New Roman" w:hAnsi="Times New Roman"/>
          <w:b/>
          <w:bCs/>
          <w:sz w:val="24"/>
          <w:szCs w:val="24"/>
        </w:rPr>
      </w:pPr>
      <w:r>
        <w:rPr>
          <w:rFonts w:ascii="Times New Roman" w:hAnsi="Times New Roman"/>
          <w:b/>
          <w:bCs/>
          <w:sz w:val="24"/>
          <w:szCs w:val="24"/>
        </w:rPr>
        <w:t xml:space="preserve">Piperacillin-Tazobactum </w:t>
      </w:r>
    </w:p>
    <w:p>
      <w:pPr>
        <w:pStyle w:val="style0"/>
        <w:spacing w:lineRule="auto" w:line="240"/>
        <w:jc w:val="center"/>
        <w:rPr>
          <w:rFonts w:ascii="Times New Roman" w:hAnsi="Times New Roman"/>
          <w:b/>
          <w:bCs/>
          <w:sz w:val="24"/>
          <w:szCs w:val="24"/>
        </w:rPr>
      </w:pPr>
      <w:r>
        <w:rPr>
          <w:rFonts w:ascii="Times New Roman" w:hAnsi="Times New Roman"/>
          <w:b/>
          <w:bCs/>
          <w:sz w:val="24"/>
          <w:szCs w:val="24"/>
        </w:rPr>
        <w:t>Dose adjustment monograph</w:t>
      </w:r>
    </w:p>
    <w:p>
      <w:pPr>
        <w:pStyle w:val="style0"/>
        <w:spacing w:lineRule="auto" w:line="240"/>
        <w:jc w:val="center"/>
        <w:rPr>
          <w:rFonts w:ascii="Times New Roman" w:hAnsi="Times New Roman"/>
          <w:sz w:val="24"/>
          <w:szCs w:val="24"/>
        </w:rPr>
      </w:pPr>
    </w:p>
    <w:p>
      <w:pPr>
        <w:pStyle w:val="style0"/>
        <w:spacing w:lineRule="auto" w:line="240"/>
        <w:jc w:val="center"/>
        <w:rPr>
          <w:rFonts w:ascii="Times New Roman" w:hAnsi="Times New Roman"/>
          <w:sz w:val="24"/>
          <w:szCs w:val="24"/>
        </w:rPr>
      </w:pPr>
      <w:r>
        <w:rPr>
          <w:rFonts w:ascii="Times New Roman" w:hAnsi="Times New Roman"/>
          <w:sz w:val="24"/>
          <w:szCs w:val="24"/>
        </w:rPr>
        <w:t>Name:</w:t>
      </w:r>
    </w:p>
    <w:p>
      <w:pPr>
        <w:pStyle w:val="style0"/>
        <w:spacing w:lineRule="auto" w:line="240"/>
        <w:jc w:val="center"/>
        <w:rPr>
          <w:rFonts w:ascii="Times New Roman" w:hAnsi="Times New Roman"/>
          <w:sz w:val="24"/>
          <w:szCs w:val="24"/>
        </w:rPr>
      </w:pPr>
      <w:r>
        <w:rPr>
          <w:rFonts w:ascii="Times New Roman" w:hAnsi="Times New Roman"/>
          <w:sz w:val="24"/>
          <w:szCs w:val="24"/>
        </w:rPr>
        <w:t>Institution:</w:t>
      </w:r>
    </w:p>
    <w:p>
      <w:pPr>
        <w:pStyle w:val="style0"/>
        <w:spacing w:lineRule="auto" w:line="240"/>
        <w:rPr>
          <w:rFonts w:ascii="Times New Roman" w:hAnsi="Times New Roman"/>
          <w:b/>
          <w:bCs/>
          <w:sz w:val="24"/>
          <w:szCs w:val="24"/>
        </w:rPr>
      </w:pPr>
    </w:p>
    <w:p>
      <w:pPr>
        <w:pStyle w:val="style0"/>
        <w:spacing w:lineRule="auto" w:line="240"/>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t>Background</w:t>
      </w:r>
    </w:p>
    <w:p>
      <w:pPr>
        <w:pStyle w:val="style0"/>
        <w:spacing w:lineRule="auto" w:line="240"/>
        <w:rPr>
          <w:rFonts w:ascii="Times New Roman" w:hAnsi="Times New Roman"/>
          <w:sz w:val="24"/>
          <w:szCs w:val="24"/>
        </w:rPr>
      </w:pPr>
      <w:r>
        <w:rPr>
          <w:rFonts w:ascii="Times New Roman" w:hAnsi="Times New Roman"/>
          <w:sz w:val="24"/>
          <w:szCs w:val="24"/>
        </w:rPr>
        <w:t>Piperacillin-Tazobactum is a drug that is used to treat a broad range of bacterial infections. Some of the bacterial infections treated using this drug are presumed infection in neutropenic patient with fever, bacterial pneumonia caused by Haemophilus influenzae, pneumonia caused by bacteria, nosocomial bacterial pneumonia, hospital-acquired pneumonia from Staphylococcus bacteria, and cystic fibrosis and infection from Pseud</w:t>
      </w:r>
      <w:r>
        <w:rPr>
          <w:rFonts w:ascii="Times New Roman" w:hAnsi="Times New Roman"/>
          <w:sz w:val="24"/>
          <w:szCs w:val="24"/>
        </w:rPr>
        <w:t xml:space="preserve">omonas bacteria among others </w:t>
      </w:r>
      <w:r>
        <w:rPr>
          <w:rFonts w:ascii="Times New Roman" w:hAnsi="Times New Roman"/>
          <w:sz w:val="24"/>
          <w:szCs w:val="24"/>
        </w:rPr>
        <w:t xml:space="preserve">. The mechanism of action of this drug is inhibition of the synthesis of bacterial cell wall. Tazobactum is given with pileracillin to prevent bacteria from destroying the latter. </w:t>
      </w:r>
      <w:r>
        <w:rPr>
          <w:rFonts w:ascii="Times New Roman" w:hAnsi="Times New Roman"/>
          <w:sz w:val="24"/>
          <w:szCs w:val="24"/>
        </w:rPr>
        <w:t xml:space="preserve">In Australia,Tazobactam is used to prevent infection by killing bacteria[1]. </w:t>
      </w:r>
      <w:r>
        <w:rPr>
          <w:rFonts w:ascii="Times New Roman" w:hAnsi="Times New Roman"/>
          <w:sz w:val="24"/>
          <w:szCs w:val="24"/>
        </w:rPr>
        <w:t>Therefore, tazobactum is used to increase the effectiveness of piperacillin. This medication is given through an injection into the veins. It is injected every 6 hours and slowly over a period of 30 minutes. The standard dosage of this drug is IV: 3-4g/dose q4 to 6hrs not to exceed 24g in 24hrs. Through IM: 2-3g/dose q6 to 12 hrs not to exceed 24g in 24 hrs.</w:t>
      </w:r>
    </w:p>
    <w:p>
      <w:pPr>
        <w:pStyle w:val="style0"/>
        <w:spacing w:lineRule="auto" w:line="240"/>
        <w:rPr>
          <w:rFonts w:ascii="Times New Roman" w:hAnsi="Times New Roman"/>
          <w:b/>
          <w:bCs/>
          <w:sz w:val="24"/>
          <w:szCs w:val="24"/>
        </w:rPr>
      </w:pPr>
      <w:r>
        <w:rPr>
          <w:rFonts w:ascii="Times New Roman" w:hAnsi="Times New Roman"/>
          <w:b/>
          <w:bCs/>
          <w:sz w:val="24"/>
          <w:szCs w:val="24"/>
        </w:rPr>
        <w:t>Obese Patients</w:t>
      </w:r>
    </w:p>
    <w:p>
      <w:pPr>
        <w:pStyle w:val="style0"/>
        <w:spacing w:lineRule="auto" w:line="240"/>
        <w:rPr>
          <w:rFonts w:ascii="Times New Roman" w:hAnsi="Times New Roman"/>
          <w:sz w:val="24"/>
          <w:szCs w:val="24"/>
        </w:rPr>
      </w:pPr>
      <w:r>
        <w:rPr>
          <w:rFonts w:ascii="Times New Roman" w:hAnsi="Times New Roman"/>
          <w:sz w:val="24"/>
          <w:szCs w:val="24"/>
        </w:rPr>
        <w:t xml:space="preserve">The dosage of Piperacillin-Tazobactum is varied from one patient to another depending on diagnosed complications. A patient with obesity has a higher volume distribution, which is the total amount of a drug in the body compared to the concentration of plasma. The physiochemical characteristics of a drug determine its rate of distribution from blood to tissue and across tissue membranes [2]. Because of an increase in adipose and lean muscle mass, volume distribution is high in obese patients. This implies that there will be an alteration of the standard dosage to 4.5g/dose q8hrs prolonged infusion for up to eight hours or 4.5g/dose q6hrs for 30-mins infusion. For the critically ill obese patients, prolonged infusion is required. Critically ill obese patients with a creatin clearance of more than 100ml/min will require a higher dose prolonged infusion. A higher dosage is required for obese patients because the total amount of drug that is absorbed in the blood is limited [2]. A decrease in the amount of administered drug is linked to the increased muscle mass and adipose tissue, which inhibit the movement of the drugs [3]. To address this issue, prolonged infusion is preferred to achieve an optimal patient outcome [4]. </w:t>
      </w:r>
    </w:p>
    <w:p>
      <w:pPr>
        <w:pStyle w:val="style0"/>
        <w:spacing w:lineRule="auto" w:line="240"/>
        <w:rPr>
          <w:rFonts w:ascii="Times New Roman" w:hAnsi="Times New Roman"/>
          <w:b/>
          <w:bCs/>
          <w:sz w:val="24"/>
          <w:szCs w:val="24"/>
        </w:rPr>
      </w:pPr>
      <w:r>
        <w:rPr>
          <w:rFonts w:ascii="Times New Roman" w:hAnsi="Times New Roman"/>
          <w:b/>
          <w:bCs/>
          <w:sz w:val="24"/>
          <w:szCs w:val="24"/>
        </w:rPr>
        <w:t xml:space="preserve">Augmented Renal Function </w:t>
      </w:r>
    </w:p>
    <w:p>
      <w:pPr>
        <w:pStyle w:val="style0"/>
        <w:spacing w:lineRule="auto" w:line="240"/>
        <w:rPr>
          <w:rFonts w:ascii="Times New Roman" w:hAnsi="Times New Roman"/>
          <w:sz w:val="24"/>
          <w:szCs w:val="24"/>
        </w:rPr>
      </w:pPr>
      <w:r>
        <w:rPr>
          <w:rFonts w:ascii="Times New Roman" w:hAnsi="Times New Roman"/>
          <w:sz w:val="24"/>
          <w:szCs w:val="24"/>
        </w:rPr>
        <w:t xml:space="preserve">Augmented renal function is a condition that occurs when a critically ill patient shows increased clearance of medication through the kidneys [5]. This condition affects the amount of drugs administered to a patient. In the case of augmented renal function, there is a very high rate of creatin clearance, or more then 130mm/min. In a study conducted by [6], a higher dose of Piperacillin-Tazobactum should be administered to patients with augmented renal function. Studies show that people with a creatin clearance of over 100mm/min need to have a higher dosage than the standard measures. Increasing the dosage for a prolonged infusion. </w:t>
      </w:r>
    </w:p>
    <w:p>
      <w:pPr>
        <w:pStyle w:val="style0"/>
        <w:spacing w:lineRule="auto" w:line="240"/>
        <w:rPr>
          <w:rFonts w:ascii="Times New Roman" w:hAnsi="Times New Roman"/>
          <w:sz w:val="24"/>
          <w:szCs w:val="24"/>
        </w:rPr>
      </w:pPr>
      <w:r>
        <w:rPr>
          <w:rFonts w:ascii="Times New Roman" w:hAnsi="Times New Roman"/>
          <w:sz w:val="24"/>
          <w:szCs w:val="24"/>
        </w:rPr>
        <w:t xml:space="preserve">An increase in creatin clearance leads to a decrease in the probability of achieving the standard regimen dosing. The medication for this patient should be adjusted to 16g per day continuously 160mg/mL for a 12 hour infusion. Adjusting this dosage will ensure that the rate of creatin clearance of balanced and the rate of drug clearance from the system decreased. With this adjusted treatment, the probability of achieving quality outcome will be 93% [7]. Extending the </w:t>
      </w:r>
      <w:r>
        <w:rPr>
          <w:rFonts w:ascii="Times New Roman" w:hAnsi="Times New Roman"/>
          <w:sz w:val="24"/>
          <w:szCs w:val="24"/>
        </w:rPr>
        <w:t xml:space="preserve">infusion for up to 8 hours will ensure that the drugs that are not absorbed in the blood and cleared through the kidneys are accounted for. </w:t>
      </w:r>
    </w:p>
    <w:p>
      <w:pPr>
        <w:pStyle w:val="style0"/>
        <w:spacing w:lineRule="auto" w:line="240"/>
        <w:rPr>
          <w:rFonts w:ascii="Times New Roman" w:hAnsi="Times New Roman"/>
          <w:b/>
          <w:bCs/>
          <w:sz w:val="24"/>
          <w:szCs w:val="24"/>
        </w:rPr>
      </w:pPr>
      <w:r>
        <w:rPr>
          <w:rFonts w:ascii="Times New Roman" w:hAnsi="Times New Roman"/>
          <w:b/>
          <w:bCs/>
          <w:sz w:val="24"/>
          <w:szCs w:val="24"/>
        </w:rPr>
        <w:t xml:space="preserve">Elderly Patients </w:t>
      </w:r>
    </w:p>
    <w:p>
      <w:pPr>
        <w:pStyle w:val="style0"/>
        <w:spacing w:lineRule="auto" w:line="240"/>
        <w:rPr>
          <w:rFonts w:ascii="Times New Roman" w:hAnsi="Times New Roman"/>
          <w:sz w:val="24"/>
          <w:szCs w:val="24"/>
        </w:rPr>
      </w:pPr>
      <w:r>
        <w:rPr>
          <w:rFonts w:ascii="Times New Roman" w:hAnsi="Times New Roman"/>
          <w:sz w:val="24"/>
          <w:szCs w:val="24"/>
        </w:rPr>
        <w:t xml:space="preserve">Administration of this drug to elderly people should also be adjusted to ensure that the outcome are optimal. Because of old age, patients are exposed to increased toxicity of drugs. In order patients, the administration of the drug varies depending on whether they have high levels of </w:t>
      </w:r>
      <w:r>
        <w:rPr>
          <w:rFonts w:ascii="Times New Roman" w:hAnsi="Times New Roman"/>
          <w:sz w:val="24"/>
          <w:szCs w:val="24"/>
        </w:rPr>
        <w:t>creating</w:t>
      </w:r>
      <w:r>
        <w:rPr>
          <w:rFonts w:ascii="Times New Roman" w:hAnsi="Times New Roman"/>
          <w:sz w:val="24"/>
          <w:szCs w:val="24"/>
        </w:rPr>
        <w:t xml:space="preserve"> clearance and the changes in pharmacokinetics [8]. For older patients with normal renal function or </w:t>
      </w:r>
      <w:r>
        <w:rPr>
          <w:rFonts w:ascii="Times New Roman" w:hAnsi="Times New Roman"/>
          <w:sz w:val="24"/>
          <w:szCs w:val="24"/>
        </w:rPr>
        <w:t>creating</w:t>
      </w:r>
      <w:r>
        <w:rPr>
          <w:rFonts w:ascii="Times New Roman" w:hAnsi="Times New Roman"/>
          <w:sz w:val="24"/>
          <w:szCs w:val="24"/>
        </w:rPr>
        <w:t xml:space="preserve"> clearance values above 40mm/min. In this case, the dosage should be maintained at 3-4g/dose q4 to 6hrs not to exceed 24g in 24hrs. This dosage, however, should not exceed 4.5g per dose for a period of 30-infusion. </w:t>
      </w:r>
    </w:p>
    <w:p>
      <w:pPr>
        <w:pStyle w:val="style0"/>
        <w:spacing w:lineRule="auto" w:line="240"/>
        <w:rPr>
          <w:rFonts w:ascii="Times New Roman" w:hAnsi="Times New Roman"/>
          <w:sz w:val="24"/>
          <w:szCs w:val="24"/>
        </w:rPr>
      </w:pPr>
      <w:r>
        <w:rPr>
          <w:rFonts w:ascii="Times New Roman" w:hAnsi="Times New Roman"/>
          <w:sz w:val="24"/>
          <w:szCs w:val="24"/>
        </w:rPr>
        <w:t xml:space="preserve">However, in the case of increased nephrotoxicity in these patients can lead to a decrease in the dosage or complete discontinuation. Administration of Piperacillin-Tazobactum in elderly patients can have severe effects, which can cause toxicity [9]. It the case of toxicity, it is recommended that the dosage be reduced to 2-3g/dose q6 to 12 hrs not to exceed 24g in 24 hrs. Also, the severity of the drug can be increase by the presence of underlying conditions in elderly patients. Therefore, it is important to determine the state of elderly patients to know if there are underlying health issues [10, 11]. This knowledge is used to know the optimal dosage for a patient and promote quality patient outcomes. </w:t>
      </w:r>
    </w:p>
    <w:p>
      <w:pPr>
        <w:pStyle w:val="style0"/>
        <w:spacing w:lineRule="auto" w:line="240"/>
        <w:rPr>
          <w:rFonts w:ascii="Times New Roman" w:hAnsi="Times New Roman"/>
          <w:sz w:val="24"/>
          <w:szCs w:val="24"/>
        </w:rPr>
      </w:pPr>
      <w:r>
        <w:rPr>
          <w:rFonts w:ascii="Times New Roman" w:hAnsi="Times New Roman"/>
          <w:b/>
          <w:bCs/>
          <w:sz w:val="24"/>
          <w:szCs w:val="24"/>
        </w:rPr>
        <w:t>TDM</w:t>
      </w:r>
      <w:r>
        <w:rPr>
          <w:rFonts w:ascii="Times New Roman" w:hAnsi="Times New Roman"/>
          <w:sz w:val="24"/>
          <w:szCs w:val="24"/>
        </w:rPr>
        <w:t xml:space="preserve"> </w:t>
      </w:r>
    </w:p>
    <w:p>
      <w:pPr>
        <w:pStyle w:val="style0"/>
        <w:spacing w:lineRule="auto" w:line="240"/>
        <w:rPr>
          <w:rFonts w:ascii="Times New Roman" w:hAnsi="Times New Roman"/>
          <w:sz w:val="24"/>
          <w:szCs w:val="24"/>
        </w:rPr>
      </w:pPr>
      <w:r>
        <w:rPr>
          <w:rFonts w:ascii="Times New Roman" w:hAnsi="Times New Roman"/>
          <w:sz w:val="24"/>
          <w:szCs w:val="24"/>
        </w:rPr>
        <w:t xml:space="preserve">Therapeutic drug monitoring (TDM) is a testing that is used in medicine to measure medication levels in blood [12]. TDM plays an essential role in determination of the effectiveness, safety, and efficiency of administered drugs. TDM can be used to ensure that the right adjustments are made and optimal patient outcomes realized [13]. For the case of obese patients, it is important to use TDM because it will ensure that the right level of medication is administered [14]. Based on the fact that a higher dose for a prolonged infusion is required, the probability of giving an overdose is high [15]. However, using TDM, providers can know the exact amount of drugs to give. Patients with augmented renal function should have a TDM to ensure that a all administer drugs are not cleared from the system before they function. For elderly patients using TDM is vital because it will ensure that they are not overdoses and, or exposed to nephrotoxicity. </w:t>
      </w:r>
    </w:p>
    <w:p>
      <w:pPr>
        <w:pStyle w:val="style0"/>
        <w:spacing w:lineRule="auto" w:line="240"/>
        <w:rPr>
          <w:rFonts w:ascii="Times New Roman" w:hAnsi="Times New Roman"/>
          <w:sz w:val="24"/>
          <w:szCs w:val="24"/>
        </w:rPr>
      </w:pPr>
      <w:r>
        <w:rPr>
          <w:rFonts w:ascii="Times New Roman" w:hAnsi="Times New Roman"/>
          <w:b/>
          <w:bCs/>
          <w:sz w:val="24"/>
          <w:szCs w:val="24"/>
        </w:rPr>
        <w:t>Conclusion</w:t>
      </w:r>
      <w:r>
        <w:rPr>
          <w:rFonts w:ascii="Times New Roman" w:hAnsi="Times New Roman"/>
          <w:sz w:val="24"/>
          <w:szCs w:val="24"/>
        </w:rPr>
        <w:t xml:space="preserve"> </w:t>
      </w:r>
    </w:p>
    <w:tbl>
      <w:tblPr>
        <w:tblW w:w="0" w:type="auto"/>
        <w:tblLook w:val="04A0" w:firstRow="1" w:lastRow="0" w:firstColumn="1" w:lastColumn="0" w:noHBand="0" w:noVBand="1"/>
      </w:tblPr>
      <w:tblGrid>
        <w:gridCol w:w="1762"/>
        <w:gridCol w:w="2309"/>
        <w:gridCol w:w="2290"/>
        <w:gridCol w:w="3001"/>
      </w:tblGrid>
      <w:tr>
        <w:trPr/>
        <w:tc>
          <w:tcPr>
            <w:tcW w:w="1838" w:type="dxa"/>
            <w:tcBorders>
              <w:top w:val="single" w:sz="4" w:space="0" w:color="auto"/>
              <w:left w:val="single" w:sz="4" w:space="0" w:color="auto"/>
              <w:bottom w:val="single" w:sz="4" w:space="0" w:color="auto"/>
              <w:right w:val="single" w:sz="4" w:space="0" w:color="auto"/>
            </w:tcBorders>
          </w:tcPr>
          <w:p>
            <w:pPr>
              <w:pStyle w:val="style0"/>
              <w:spacing w:lineRule="auto" w:line="240"/>
              <w:rPr>
                <w:rFonts w:ascii="Times New Roman" w:hAnsi="Times New Roman"/>
                <w:sz w:val="24"/>
                <w:szCs w:val="24"/>
              </w:rPr>
            </w:pPr>
          </w:p>
        </w:tc>
        <w:tc>
          <w:tcPr>
            <w:tcW w:w="2457" w:type="dxa"/>
            <w:tcBorders>
              <w:top w:val="single" w:sz="4" w:space="0" w:color="auto"/>
              <w:left w:val="single" w:sz="4" w:space="0" w:color="auto"/>
              <w:bottom w:val="single" w:sz="4" w:space="0" w:color="auto"/>
              <w:right w:val="single" w:sz="4" w:space="0" w:color="auto"/>
            </w:tcBorders>
          </w:tcPr>
          <w:p>
            <w:pPr>
              <w:pStyle w:val="style0"/>
              <w:spacing w:lineRule="auto" w:line="240"/>
              <w:jc w:val="center"/>
              <w:rPr>
                <w:rFonts w:ascii="Times New Roman" w:hAnsi="Times New Roman"/>
                <w:sz w:val="24"/>
                <w:szCs w:val="24"/>
              </w:rPr>
            </w:pPr>
            <w:r>
              <w:rPr>
                <w:rFonts w:ascii="Times New Roman" w:hAnsi="Times New Roman"/>
                <w:sz w:val="24"/>
                <w:szCs w:val="24"/>
              </w:rPr>
              <w:t>Dose adjustment</w:t>
            </w:r>
          </w:p>
        </w:tc>
        <w:tc>
          <w:tcPr>
            <w:tcW w:w="2456" w:type="dxa"/>
            <w:tcBorders>
              <w:top w:val="single" w:sz="4" w:space="0" w:color="auto"/>
              <w:left w:val="single" w:sz="4" w:space="0" w:color="auto"/>
              <w:bottom w:val="single" w:sz="4" w:space="0" w:color="auto"/>
              <w:right w:val="single" w:sz="4" w:space="0" w:color="auto"/>
            </w:tcBorders>
          </w:tcPr>
          <w:p>
            <w:pPr>
              <w:pStyle w:val="style0"/>
              <w:spacing w:lineRule="auto" w:line="240"/>
              <w:jc w:val="center"/>
              <w:rPr>
                <w:rFonts w:ascii="Times New Roman" w:hAnsi="Times New Roman"/>
                <w:sz w:val="24"/>
                <w:szCs w:val="24"/>
              </w:rPr>
            </w:pPr>
            <w:r>
              <w:rPr>
                <w:rFonts w:ascii="Times New Roman" w:hAnsi="Times New Roman"/>
                <w:sz w:val="24"/>
                <w:szCs w:val="24"/>
              </w:rPr>
              <w:t>TDM needed</w:t>
            </w:r>
          </w:p>
        </w:tc>
        <w:tc>
          <w:tcPr>
            <w:tcW w:w="3209" w:type="dxa"/>
            <w:tcBorders>
              <w:top w:val="single" w:sz="4" w:space="0" w:color="auto"/>
              <w:left w:val="single" w:sz="4" w:space="0" w:color="auto"/>
              <w:bottom w:val="single" w:sz="4" w:space="0" w:color="auto"/>
              <w:right w:val="single" w:sz="4" w:space="0" w:color="auto"/>
            </w:tcBorders>
          </w:tcPr>
          <w:p>
            <w:pPr>
              <w:pStyle w:val="style0"/>
              <w:spacing w:lineRule="auto" w:line="240"/>
              <w:rPr>
                <w:rFonts w:ascii="Times New Roman" w:hAnsi="Times New Roman"/>
                <w:sz w:val="24"/>
                <w:szCs w:val="24"/>
              </w:rPr>
            </w:pPr>
          </w:p>
        </w:tc>
      </w:tr>
      <w:tr>
        <w:tblPrEx/>
        <w:trPr/>
        <w:tc>
          <w:tcPr>
            <w:tcW w:w="1838" w:type="dxa"/>
            <w:tcBorders>
              <w:top w:val="single" w:sz="4" w:space="0" w:color="auto"/>
              <w:left w:val="single" w:sz="4" w:space="0" w:color="auto"/>
              <w:bottom w:val="single" w:sz="4" w:space="0" w:color="auto"/>
              <w:right w:val="single" w:sz="4" w:space="0" w:color="auto"/>
            </w:tcBorders>
          </w:tcPr>
          <w:p>
            <w:pPr>
              <w:pStyle w:val="style0"/>
              <w:spacing w:lineRule="auto" w:line="240"/>
              <w:rPr>
                <w:rFonts w:ascii="Times New Roman" w:hAnsi="Times New Roman"/>
                <w:sz w:val="24"/>
                <w:szCs w:val="24"/>
              </w:rPr>
            </w:pPr>
          </w:p>
        </w:tc>
        <w:tc>
          <w:tcPr>
            <w:tcW w:w="2457" w:type="dxa"/>
            <w:tcBorders>
              <w:top w:val="single" w:sz="4" w:space="0" w:color="auto"/>
              <w:left w:val="single" w:sz="4" w:space="0" w:color="auto"/>
              <w:bottom w:val="single" w:sz="4" w:space="0" w:color="auto"/>
              <w:right w:val="single" w:sz="4" w:space="0" w:color="auto"/>
            </w:tcBorders>
          </w:tcPr>
          <w:p>
            <w:pPr>
              <w:pStyle w:val="style0"/>
              <w:spacing w:lineRule="auto" w:line="240"/>
              <w:jc w:val="center"/>
              <w:rPr>
                <w:rFonts w:ascii="Times New Roman" w:hAnsi="Times New Roman"/>
                <w:sz w:val="24"/>
                <w:szCs w:val="24"/>
              </w:rPr>
            </w:pPr>
            <w:r>
              <w:rPr>
                <w:rFonts w:ascii="Times New Roman" w:hAnsi="Times New Roman"/>
                <w:sz w:val="24"/>
                <w:szCs w:val="24"/>
              </w:rPr>
              <w:t>YES or NO or COMMENT</w:t>
            </w:r>
          </w:p>
        </w:tc>
        <w:tc>
          <w:tcPr>
            <w:tcW w:w="2456" w:type="dxa"/>
            <w:tcBorders>
              <w:top w:val="single" w:sz="4" w:space="0" w:color="auto"/>
              <w:left w:val="single" w:sz="4" w:space="0" w:color="auto"/>
              <w:bottom w:val="single" w:sz="4" w:space="0" w:color="auto"/>
              <w:right w:val="single" w:sz="4" w:space="0" w:color="auto"/>
            </w:tcBorders>
          </w:tcPr>
          <w:p>
            <w:pPr>
              <w:pStyle w:val="style0"/>
              <w:spacing w:lineRule="auto" w:line="240"/>
              <w:jc w:val="center"/>
              <w:rPr>
                <w:rFonts w:ascii="Times New Roman" w:hAnsi="Times New Roman"/>
                <w:sz w:val="24"/>
                <w:szCs w:val="24"/>
              </w:rPr>
            </w:pPr>
            <w:r>
              <w:rPr>
                <w:rFonts w:ascii="Times New Roman" w:hAnsi="Times New Roman"/>
                <w:sz w:val="24"/>
                <w:szCs w:val="24"/>
              </w:rPr>
              <w:t>YES or NO or COMMENT</w:t>
            </w:r>
          </w:p>
        </w:tc>
        <w:tc>
          <w:tcPr>
            <w:tcW w:w="3209" w:type="dxa"/>
            <w:tcBorders>
              <w:top w:val="single" w:sz="4" w:space="0" w:color="auto"/>
              <w:left w:val="single" w:sz="4" w:space="0" w:color="auto"/>
              <w:bottom w:val="single" w:sz="4" w:space="0" w:color="auto"/>
              <w:right w:val="single" w:sz="4" w:space="0" w:color="auto"/>
            </w:tcBorders>
          </w:tcPr>
          <w:p>
            <w:pPr>
              <w:pStyle w:val="style0"/>
              <w:spacing w:lineRule="auto" w:line="240"/>
              <w:rPr>
                <w:rFonts w:ascii="Times New Roman" w:hAnsi="Times New Roman"/>
                <w:sz w:val="24"/>
                <w:szCs w:val="24"/>
              </w:rPr>
            </w:pPr>
            <w:r>
              <w:rPr>
                <w:rFonts w:ascii="Times New Roman" w:hAnsi="Times New Roman"/>
                <w:sz w:val="24"/>
                <w:szCs w:val="24"/>
              </w:rPr>
              <w:t>COMMENT</w:t>
            </w:r>
          </w:p>
        </w:tc>
      </w:tr>
      <w:tr>
        <w:tblPrEx/>
        <w:trPr/>
        <w:tc>
          <w:tcPr>
            <w:tcW w:w="1838" w:type="dxa"/>
            <w:tcBorders>
              <w:top w:val="single" w:sz="4" w:space="0" w:color="auto"/>
              <w:left w:val="single" w:sz="4" w:space="0" w:color="auto"/>
              <w:bottom w:val="single" w:sz="4" w:space="0" w:color="auto"/>
              <w:right w:val="single" w:sz="4" w:space="0" w:color="auto"/>
            </w:tcBorders>
          </w:tcPr>
          <w:p>
            <w:pPr>
              <w:pStyle w:val="style0"/>
              <w:spacing w:lineRule="auto" w:line="240"/>
              <w:rPr>
                <w:rFonts w:ascii="Times New Roman" w:hAnsi="Times New Roman"/>
                <w:sz w:val="24"/>
                <w:szCs w:val="24"/>
              </w:rPr>
            </w:pPr>
            <w:r>
              <w:rPr>
                <w:rFonts w:ascii="Times New Roman" w:hAnsi="Times New Roman"/>
                <w:sz w:val="24"/>
                <w:szCs w:val="24"/>
              </w:rPr>
              <w:t>Obese patients</w:t>
            </w:r>
          </w:p>
        </w:tc>
        <w:tc>
          <w:tcPr>
            <w:tcW w:w="2457" w:type="dxa"/>
            <w:tcBorders>
              <w:top w:val="single" w:sz="4" w:space="0" w:color="auto"/>
              <w:left w:val="single" w:sz="4" w:space="0" w:color="auto"/>
              <w:bottom w:val="single" w:sz="4" w:space="0" w:color="auto"/>
              <w:right w:val="single" w:sz="4" w:space="0" w:color="auto"/>
            </w:tcBorders>
          </w:tcPr>
          <w:p>
            <w:pPr>
              <w:pStyle w:val="style0"/>
              <w:spacing w:lineRule="auto" w:line="240"/>
              <w:jc w:val="center"/>
              <w:rPr>
                <w:rFonts w:ascii="Times New Roman" w:hAnsi="Times New Roman"/>
                <w:sz w:val="24"/>
                <w:szCs w:val="24"/>
              </w:rPr>
            </w:pPr>
            <w:r>
              <w:rPr>
                <w:rFonts w:ascii="Times New Roman" w:hAnsi="Times New Roman"/>
                <w:sz w:val="24"/>
                <w:szCs w:val="24"/>
              </w:rPr>
              <w:t>Yes</w:t>
            </w:r>
          </w:p>
        </w:tc>
        <w:tc>
          <w:tcPr>
            <w:tcW w:w="2456" w:type="dxa"/>
            <w:tcBorders>
              <w:top w:val="single" w:sz="4" w:space="0" w:color="auto"/>
              <w:left w:val="single" w:sz="4" w:space="0" w:color="auto"/>
              <w:bottom w:val="single" w:sz="4" w:space="0" w:color="auto"/>
              <w:right w:val="single" w:sz="4" w:space="0" w:color="auto"/>
            </w:tcBorders>
          </w:tcPr>
          <w:p>
            <w:pPr>
              <w:pStyle w:val="style0"/>
              <w:spacing w:lineRule="auto" w:line="240"/>
              <w:jc w:val="center"/>
              <w:rPr>
                <w:rFonts w:ascii="Times New Roman" w:hAnsi="Times New Roman"/>
                <w:sz w:val="24"/>
                <w:szCs w:val="24"/>
              </w:rPr>
            </w:pPr>
            <w:r>
              <w:rPr>
                <w:rFonts w:ascii="Times New Roman" w:hAnsi="Times New Roman"/>
                <w:sz w:val="24"/>
                <w:szCs w:val="24"/>
              </w:rPr>
              <w:t xml:space="preserve">Yes </w:t>
            </w:r>
          </w:p>
        </w:tc>
        <w:tc>
          <w:tcPr>
            <w:tcW w:w="3209" w:type="dxa"/>
            <w:tcBorders>
              <w:top w:val="single" w:sz="4" w:space="0" w:color="auto"/>
              <w:left w:val="single" w:sz="4" w:space="0" w:color="auto"/>
              <w:bottom w:val="single" w:sz="4" w:space="0" w:color="auto"/>
              <w:right w:val="single" w:sz="4" w:space="0" w:color="auto"/>
            </w:tcBorders>
          </w:tcPr>
          <w:p>
            <w:pPr>
              <w:pStyle w:val="style0"/>
              <w:spacing w:lineRule="auto" w:line="240"/>
              <w:rPr>
                <w:rFonts w:ascii="Times New Roman" w:hAnsi="Times New Roman"/>
                <w:sz w:val="24"/>
                <w:szCs w:val="24"/>
              </w:rPr>
            </w:pPr>
            <w:r>
              <w:rPr>
                <w:rFonts w:ascii="Times New Roman" w:hAnsi="Times New Roman"/>
                <w:sz w:val="24"/>
                <w:szCs w:val="24"/>
              </w:rPr>
              <w:t>Dose adjustments ensures the outcomes are optimal and TDM facilitates adjustments.</w:t>
            </w:r>
            <w:r>
              <w:rPr>
                <w:rFonts w:ascii="Times New Roman" w:hAnsi="Times New Roman"/>
                <w:sz w:val="24"/>
                <w:szCs w:val="24"/>
              </w:rPr>
              <w:t xml:space="preserve"> </w:t>
            </w:r>
          </w:p>
        </w:tc>
      </w:tr>
      <w:tr>
        <w:tblPrEx/>
        <w:trPr/>
        <w:tc>
          <w:tcPr>
            <w:tcW w:w="1838" w:type="dxa"/>
            <w:tcBorders>
              <w:top w:val="single" w:sz="4" w:space="0" w:color="auto"/>
              <w:left w:val="single" w:sz="4" w:space="0" w:color="auto"/>
              <w:bottom w:val="single" w:sz="4" w:space="0" w:color="auto"/>
              <w:right w:val="single" w:sz="4" w:space="0" w:color="auto"/>
            </w:tcBorders>
          </w:tcPr>
          <w:p>
            <w:pPr>
              <w:pStyle w:val="style0"/>
              <w:spacing w:lineRule="auto" w:line="240"/>
              <w:rPr>
                <w:rFonts w:ascii="Times New Roman" w:hAnsi="Times New Roman"/>
                <w:sz w:val="24"/>
                <w:szCs w:val="24"/>
              </w:rPr>
            </w:pPr>
            <w:r>
              <w:rPr>
                <w:rFonts w:ascii="Times New Roman" w:hAnsi="Times New Roman"/>
                <w:sz w:val="24"/>
                <w:szCs w:val="24"/>
              </w:rPr>
              <w:t xml:space="preserve">Patients with augmented </w:t>
            </w:r>
            <w:r>
              <w:rPr>
                <w:rFonts w:ascii="Times New Roman" w:hAnsi="Times New Roman"/>
                <w:sz w:val="24"/>
                <w:szCs w:val="24"/>
              </w:rPr>
              <w:t>renal</w:t>
            </w:r>
          </w:p>
        </w:tc>
        <w:tc>
          <w:tcPr>
            <w:tcW w:w="2457" w:type="dxa"/>
            <w:tcBorders>
              <w:top w:val="single" w:sz="4" w:space="0" w:color="auto"/>
              <w:left w:val="single" w:sz="4" w:space="0" w:color="auto"/>
              <w:bottom w:val="single" w:sz="4" w:space="0" w:color="auto"/>
              <w:right w:val="single" w:sz="4" w:space="0" w:color="auto"/>
            </w:tcBorders>
          </w:tcPr>
          <w:p>
            <w:pPr>
              <w:pStyle w:val="style0"/>
              <w:spacing w:lineRule="auto" w:line="240"/>
              <w:jc w:val="center"/>
              <w:rPr>
                <w:rFonts w:ascii="Times New Roman" w:hAnsi="Times New Roman"/>
                <w:sz w:val="24"/>
                <w:szCs w:val="24"/>
              </w:rPr>
            </w:pPr>
            <w:r>
              <w:rPr>
                <w:rFonts w:ascii="Times New Roman" w:hAnsi="Times New Roman"/>
                <w:sz w:val="24"/>
                <w:szCs w:val="24"/>
              </w:rPr>
              <w:t xml:space="preserve">Yes </w:t>
            </w:r>
          </w:p>
        </w:tc>
        <w:tc>
          <w:tcPr>
            <w:tcW w:w="2456" w:type="dxa"/>
            <w:tcBorders>
              <w:top w:val="single" w:sz="4" w:space="0" w:color="auto"/>
              <w:left w:val="single" w:sz="4" w:space="0" w:color="auto"/>
              <w:bottom w:val="single" w:sz="4" w:space="0" w:color="auto"/>
              <w:right w:val="single" w:sz="4" w:space="0" w:color="auto"/>
            </w:tcBorders>
          </w:tcPr>
          <w:p>
            <w:pPr>
              <w:pStyle w:val="style0"/>
              <w:spacing w:lineRule="auto" w:line="240"/>
              <w:jc w:val="center"/>
              <w:rPr>
                <w:rFonts w:ascii="Times New Roman" w:hAnsi="Times New Roman"/>
                <w:sz w:val="24"/>
                <w:szCs w:val="24"/>
              </w:rPr>
            </w:pPr>
            <w:r>
              <w:rPr>
                <w:rFonts w:ascii="Times New Roman" w:hAnsi="Times New Roman"/>
                <w:sz w:val="24"/>
                <w:szCs w:val="24"/>
              </w:rPr>
              <w:t xml:space="preserve">Yes </w:t>
            </w:r>
          </w:p>
        </w:tc>
        <w:tc>
          <w:tcPr>
            <w:tcW w:w="3209" w:type="dxa"/>
            <w:tcBorders>
              <w:top w:val="single" w:sz="4" w:space="0" w:color="auto"/>
              <w:left w:val="single" w:sz="4" w:space="0" w:color="auto"/>
              <w:bottom w:val="single" w:sz="4" w:space="0" w:color="auto"/>
              <w:right w:val="single" w:sz="4" w:space="0" w:color="auto"/>
            </w:tcBorders>
          </w:tcPr>
          <w:p>
            <w:pPr>
              <w:pStyle w:val="style0"/>
              <w:spacing w:lineRule="auto" w:line="240"/>
              <w:rPr>
                <w:rFonts w:ascii="Times New Roman" w:hAnsi="Times New Roman"/>
                <w:sz w:val="24"/>
                <w:szCs w:val="24"/>
              </w:rPr>
            </w:pPr>
            <w:r>
              <w:rPr>
                <w:rFonts w:ascii="Times New Roman" w:hAnsi="Times New Roman"/>
                <w:sz w:val="24"/>
                <w:szCs w:val="24"/>
              </w:rPr>
              <w:t xml:space="preserve">Dose adjustments creates a balance in renal functioning </w:t>
            </w:r>
            <w:r>
              <w:rPr>
                <w:rFonts w:ascii="Times New Roman" w:hAnsi="Times New Roman"/>
                <w:sz w:val="24"/>
                <w:szCs w:val="24"/>
              </w:rPr>
              <w:t>and TDM ensures no overdoses that may cause toxicity.</w:t>
            </w:r>
            <w:bookmarkStart w:id="0" w:name="_GoBack"/>
            <w:bookmarkEnd w:id="0"/>
          </w:p>
        </w:tc>
      </w:tr>
      <w:tr>
        <w:tblPrEx/>
        <w:trPr/>
        <w:tc>
          <w:tcPr>
            <w:tcW w:w="1838" w:type="dxa"/>
            <w:tcBorders>
              <w:top w:val="single" w:sz="4" w:space="0" w:color="auto"/>
              <w:left w:val="single" w:sz="4" w:space="0" w:color="auto"/>
              <w:bottom w:val="single" w:sz="4" w:space="0" w:color="auto"/>
              <w:right w:val="single" w:sz="4" w:space="0" w:color="auto"/>
            </w:tcBorders>
          </w:tcPr>
          <w:p>
            <w:pPr>
              <w:pStyle w:val="style0"/>
              <w:spacing w:lineRule="auto" w:line="240"/>
              <w:rPr>
                <w:rFonts w:ascii="Times New Roman" w:hAnsi="Times New Roman"/>
                <w:sz w:val="24"/>
                <w:szCs w:val="24"/>
              </w:rPr>
            </w:pPr>
            <w:r>
              <w:rPr>
                <w:rFonts w:ascii="Times New Roman" w:hAnsi="Times New Roman"/>
                <w:sz w:val="24"/>
                <w:szCs w:val="24"/>
                <w:lang w:val="en-US"/>
              </w:rPr>
              <w:t xml:space="preserve">Elderly Patients </w:t>
            </w:r>
          </w:p>
        </w:tc>
        <w:tc>
          <w:tcPr>
            <w:tcW w:w="2457" w:type="dxa"/>
            <w:tcBorders>
              <w:top w:val="single" w:sz="4" w:space="0" w:color="auto"/>
              <w:left w:val="single" w:sz="4" w:space="0" w:color="auto"/>
              <w:bottom w:val="single" w:sz="4" w:space="0" w:color="auto"/>
              <w:right w:val="single" w:sz="4" w:space="0" w:color="auto"/>
            </w:tcBorders>
          </w:tcPr>
          <w:p>
            <w:pPr>
              <w:pStyle w:val="style0"/>
              <w:spacing w:lineRule="auto" w:line="240"/>
              <w:jc w:val="center"/>
              <w:rPr>
                <w:rFonts w:ascii="Times New Roman" w:hAnsi="Times New Roman"/>
                <w:sz w:val="24"/>
                <w:szCs w:val="24"/>
              </w:rPr>
            </w:pPr>
            <w:r>
              <w:rPr>
                <w:rFonts w:ascii="Times New Roman" w:hAnsi="Times New Roman"/>
                <w:sz w:val="24"/>
                <w:szCs w:val="24"/>
                <w:lang w:val="en-US"/>
              </w:rPr>
              <w:t>Yes</w:t>
            </w:r>
          </w:p>
        </w:tc>
        <w:tc>
          <w:tcPr>
            <w:tcW w:w="2456" w:type="dxa"/>
            <w:tcBorders>
              <w:top w:val="single" w:sz="4" w:space="0" w:color="auto"/>
              <w:left w:val="single" w:sz="4" w:space="0" w:color="auto"/>
              <w:bottom w:val="single" w:sz="4" w:space="0" w:color="auto"/>
              <w:right w:val="single" w:sz="4" w:space="0" w:color="auto"/>
            </w:tcBorders>
          </w:tcPr>
          <w:p>
            <w:pPr>
              <w:pStyle w:val="style0"/>
              <w:spacing w:lineRule="auto" w:line="240"/>
              <w:jc w:val="center"/>
              <w:rPr>
                <w:rFonts w:ascii="Times New Roman" w:hAnsi="Times New Roman"/>
                <w:sz w:val="24"/>
                <w:szCs w:val="24"/>
              </w:rPr>
            </w:pPr>
            <w:r>
              <w:rPr>
                <w:rFonts w:ascii="Times New Roman" w:hAnsi="Times New Roman"/>
                <w:sz w:val="24"/>
                <w:szCs w:val="24"/>
                <w:lang w:val="en-US"/>
              </w:rPr>
              <w:t>Yes</w:t>
            </w:r>
          </w:p>
        </w:tc>
        <w:tc>
          <w:tcPr>
            <w:tcW w:w="3209" w:type="dxa"/>
            <w:tcBorders>
              <w:top w:val="single" w:sz="4" w:space="0" w:color="auto"/>
              <w:left w:val="single" w:sz="4" w:space="0" w:color="auto"/>
              <w:bottom w:val="single" w:sz="4" w:space="0" w:color="auto"/>
              <w:right w:val="single" w:sz="4" w:space="0" w:color="auto"/>
            </w:tcBorders>
          </w:tcPr>
          <w:p>
            <w:pPr>
              <w:pStyle w:val="style0"/>
              <w:spacing w:lineRule="auto" w:line="240"/>
              <w:rPr>
                <w:rFonts w:ascii="Times New Roman" w:hAnsi="Times New Roman"/>
                <w:sz w:val="24"/>
                <w:szCs w:val="24"/>
              </w:rPr>
            </w:pPr>
            <w:r>
              <w:rPr>
                <w:rFonts w:ascii="Times New Roman" w:hAnsi="Times New Roman"/>
                <w:sz w:val="24"/>
                <w:szCs w:val="24"/>
                <w:lang w:val="en-US"/>
              </w:rPr>
              <w:t xml:space="preserve">Dose adjustments are needed to alleviate chances of nephrotoxicity. TDM will ensure that patients receive optimal medications and avoid under or overdose. </w:t>
            </w:r>
          </w:p>
        </w:tc>
      </w:tr>
    </w:tbl>
    <w:p>
      <w:pPr>
        <w:pStyle w:val="style0"/>
        <w:spacing w:lineRule="auto" w:line="240"/>
        <w:rPr>
          <w:rFonts w:ascii="Times New Roman" w:hAnsi="Times New Roman"/>
          <w:sz w:val="24"/>
          <w:szCs w:val="24"/>
        </w:rPr>
      </w:pPr>
    </w:p>
    <w:p>
      <w:pPr>
        <w:pStyle w:val="style0"/>
        <w:spacing w:lineRule="auto" w:line="240"/>
        <w:jc w:val="center"/>
        <w:rPr>
          <w:rFonts w:ascii="Times New Roman" w:hAnsi="Times New Roman"/>
          <w:sz w:val="24"/>
          <w:szCs w:val="24"/>
        </w:rPr>
      </w:pPr>
    </w:p>
    <w:p>
      <w:pPr>
        <w:pStyle w:val="style0"/>
        <w:spacing w:lineRule="auto" w:line="240"/>
        <w:jc w:val="center"/>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t>References</w:t>
      </w:r>
    </w:p>
    <w:p>
      <w:pPr>
        <w:pStyle w:val="style0"/>
        <w:spacing w:lineRule="auto" w:line="240"/>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Pfaller MA, Shortridge D, Sader HS, Flamm RK, Castanheira M. Ceftolozane–tazobactam activity against drug-resistant Enterobacteriaceae and Pseudomonas aeruginosa causing healthcare-associated infections in Australia and New Zealand: Report from an Antimicrobial Surveillance Program (2013–2015). Journal of global antimicrobial resistance. 2017 Sep 1;10:186-94.</w:t>
      </w:r>
    </w:p>
    <w:p>
      <w:pPr>
        <w:pStyle w:val="style0"/>
        <w:spacing w:lineRule="auto" w:line="240"/>
        <w:rPr>
          <w:rFonts w:ascii="Times New Roman" w:hAnsi="Times New Roman"/>
          <w:sz w:val="24"/>
          <w:szCs w:val="24"/>
        </w:rPr>
      </w:pPr>
      <w:r>
        <w:rPr>
          <w:rFonts w:ascii="Times New Roman" w:hAnsi="Times New Roman"/>
          <w:sz w:val="24"/>
          <w:szCs w:val="24"/>
        </w:rPr>
        <w:t>2. Natale S, Bradley J, Nguyen WH, Tran T, Ny P, La K, Vivian E, Le J. Pediatric Obesity: Pharmacokinetic Alterations and Effects on Antimicrobial Dosing. Pharmacotherapy. 2017 Mar;37(3):361-378. doi: 10.1002/phar.1899. Epub 2017 Feb 27. PMID: 28079262.</w:t>
      </w:r>
    </w:p>
    <w:p>
      <w:pPr>
        <w:pStyle w:val="style0"/>
        <w:spacing w:lineRule="auto" w:line="240"/>
        <w:rPr>
          <w:rFonts w:ascii="Times New Roman" w:hAnsi="Times New Roman"/>
          <w:sz w:val="24"/>
          <w:szCs w:val="24"/>
        </w:rPr>
      </w:pPr>
      <w:r>
        <w:rPr>
          <w:rFonts w:ascii="Times New Roman" w:hAnsi="Times New Roman"/>
          <w:sz w:val="24"/>
          <w:szCs w:val="24"/>
        </w:rPr>
        <w:t>3. Veillette, J.J., Winans, S.A., Maskiewicz, V.K. et al. Pharmacokinetics and Pharmacodynamics of High-Dose Piperacillin–Tazobactam in Obese Patients. Eur J Drug Metab Pharmacokinet (2021). https://doi.org/10.1007/s13318-021-00677-1</w:t>
      </w:r>
    </w:p>
    <w:p>
      <w:pPr>
        <w:pStyle w:val="style0"/>
        <w:spacing w:lineRule="auto" w:line="240"/>
        <w:rPr>
          <w:rFonts w:ascii="Times New Roman" w:hAnsi="Times New Roman"/>
          <w:sz w:val="24"/>
          <w:szCs w:val="24"/>
        </w:rPr>
      </w:pPr>
      <w:r>
        <w:rPr>
          <w:rFonts w:ascii="Times New Roman" w:hAnsi="Times New Roman"/>
          <w:sz w:val="24"/>
          <w:szCs w:val="24"/>
        </w:rPr>
        <w:t>4. Cheatham SC, Fleming MR, Healy DP, Chung CE, Shea KM, and Humphrey ML et al. Steady-state pharmacokinetics and pharmacodynamics of piperacillin and tazobactam administered by prolonged infusion in obese patients. Int J Antimicrob Agents 2013;41:52-6.</w:t>
      </w:r>
    </w:p>
    <w:p>
      <w:pPr>
        <w:pStyle w:val="style0"/>
        <w:spacing w:lineRule="auto" w:line="240"/>
        <w:rPr>
          <w:rFonts w:ascii="Times New Roman" w:hAnsi="Times New Roman"/>
          <w:sz w:val="24"/>
          <w:szCs w:val="24"/>
        </w:rPr>
      </w:pPr>
      <w:r>
        <w:rPr>
          <w:rFonts w:ascii="Times New Roman" w:hAnsi="Times New Roman"/>
          <w:sz w:val="24"/>
          <w:szCs w:val="24"/>
        </w:rPr>
        <w:t>5. Chen, I. H., &amp; Nicolau, D. P. Augmented Renal Clearance and How to Augment Antibiotic Dosing. Multidisciplinary Digital Publishing Institute (MDPI). (2020). 9(7). 393.https://dx.doi.org/10.3390%2Fantibiotics9070393</w:t>
      </w:r>
    </w:p>
    <w:p>
      <w:pPr>
        <w:pStyle w:val="style0"/>
        <w:spacing w:lineRule="auto" w:line="240"/>
        <w:rPr>
          <w:rFonts w:ascii="Times New Roman" w:hAnsi="Times New Roman"/>
          <w:sz w:val="24"/>
          <w:szCs w:val="24"/>
        </w:rPr>
      </w:pPr>
      <w:r>
        <w:rPr>
          <w:rFonts w:ascii="Times New Roman" w:hAnsi="Times New Roman"/>
          <w:sz w:val="24"/>
          <w:szCs w:val="24"/>
        </w:rPr>
        <w:t>6. Carrié C, Legeron R, Petit L, Ollivier J, Cottenceau V, d'Houdain N, et al. Higher than standard dosing regimen are needed to achieve optimal antibiotic exposure in critically ill patients with augmented renal clearance receiving piperacillin-tazobactam administered by continuous infusion. J Crit Care. 2018 Dec;48:66-71. doi: 10.1016/j.jcrc.2018.08.026. Epub 2018 Aug 23. PMID: 30172963.</w:t>
      </w:r>
    </w:p>
    <w:p>
      <w:pPr>
        <w:pStyle w:val="style0"/>
        <w:spacing w:lineRule="auto" w:line="240"/>
        <w:rPr>
          <w:rFonts w:ascii="Times New Roman" w:hAnsi="Times New Roman"/>
          <w:sz w:val="24"/>
          <w:szCs w:val="24"/>
        </w:rPr>
      </w:pPr>
      <w:r>
        <w:rPr>
          <w:rFonts w:ascii="Times New Roman" w:hAnsi="Times New Roman"/>
          <w:sz w:val="24"/>
          <w:szCs w:val="24"/>
        </w:rPr>
        <w:t xml:space="preserve">7. Besnard, T., Carrié, C., Petit, L., and Biais, M. Increased dosing regimens of piperacillin-tazobactam are needed to avoid subtherapeutic exposure in critically ill patients with augmented renal clearance. Critical Care. (2019). 23. 10.1186/s13054-019-2308-x. </w:t>
      </w:r>
    </w:p>
    <w:p>
      <w:pPr>
        <w:pStyle w:val="style0"/>
        <w:spacing w:lineRule="auto" w:line="240"/>
        <w:rPr>
          <w:rFonts w:ascii="Times New Roman" w:hAnsi="Times New Roman"/>
          <w:sz w:val="24"/>
          <w:szCs w:val="24"/>
        </w:rPr>
      </w:pPr>
      <w:r>
        <w:rPr>
          <w:rFonts w:ascii="Times New Roman" w:hAnsi="Times New Roman"/>
          <w:sz w:val="24"/>
          <w:szCs w:val="24"/>
        </w:rPr>
        <w:t>8. Karino F, Nishimura N, Ishihara N, Moriyama H, Miura K, Hamaguchi S, Sutani A, Kuraki T, Ikawa K, Morikawa N, Naora K. Nephrotoxicity induced by piperacillin-tazobactam in late elderly Japanese patients with nursing and healthcare associated pneumonia. Biological and Pharmaceutical Bulletin. 2014:b14-00362.</w:t>
      </w:r>
    </w:p>
    <w:p>
      <w:pPr>
        <w:pStyle w:val="style0"/>
        <w:spacing w:lineRule="auto" w:line="240"/>
        <w:rPr>
          <w:rFonts w:ascii="Times New Roman" w:hAnsi="Times New Roman"/>
          <w:sz w:val="24"/>
          <w:szCs w:val="24"/>
        </w:rPr>
      </w:pPr>
      <w:r>
        <w:rPr>
          <w:rFonts w:ascii="Times New Roman" w:hAnsi="Times New Roman"/>
          <w:sz w:val="24"/>
          <w:szCs w:val="24"/>
        </w:rPr>
        <w:t>9. Karino F, Miura K, Fuchita H, Koba N, Nishikawa E, Hotta T, et al. Efficacy and safety of piperacillin/tazobactam versus biapenem in late elderly patients with nursing- and healthcare-associated pneumonia. J Infect Chemother. 2013 Oct;19(5):909-15. doi: 10.1007/s10156-013-0605-x. Epub 2013 May 5. PMID: 23645226.</w:t>
      </w:r>
    </w:p>
    <w:p>
      <w:pPr>
        <w:pStyle w:val="style0"/>
        <w:spacing w:lineRule="auto" w:line="240"/>
        <w:rPr>
          <w:rFonts w:ascii="Times New Roman" w:hAnsi="Times New Roman"/>
          <w:sz w:val="24"/>
          <w:szCs w:val="24"/>
        </w:rPr>
      </w:pPr>
      <w:r>
        <w:rPr>
          <w:rFonts w:ascii="Times New Roman" w:hAnsi="Times New Roman"/>
          <w:sz w:val="24"/>
          <w:szCs w:val="24"/>
        </w:rPr>
        <w:t xml:space="preserve">10. Nagayama, H.; Ueda, M.; Kumagai, T.; Tsukamoto, K.; Nishiyama, Y.; Nishimura, S.; Hamamoto, M.; Katayama, Y. Influence of ageing on the pharmacokinetics of levodopa in elderly patients with Parkinson’s disease. Parkinsonism Relat. Disord. 2011, 17, 150–152. </w:t>
      </w:r>
    </w:p>
    <w:p>
      <w:pPr>
        <w:pStyle w:val="style0"/>
        <w:spacing w:lineRule="auto" w:line="240"/>
        <w:rPr>
          <w:rFonts w:ascii="Times New Roman" w:hAnsi="Times New Roman"/>
          <w:sz w:val="24"/>
          <w:szCs w:val="24"/>
        </w:rPr>
      </w:pPr>
      <w:r>
        <w:rPr>
          <w:rFonts w:ascii="Times New Roman" w:hAnsi="Times New Roman"/>
          <w:sz w:val="24"/>
          <w:szCs w:val="24"/>
        </w:rPr>
        <w:t>11. Ishihara, N.; Nishimura, N.; Ikawa, K.; Karino, F.; Miura, K.; Tamaki, H.; Yano, T.; Isobe, T.; Morikawa, N.; Naora, K. Population Pharmacokinetic Modeling and Pharmacodynamic Target Attainment Simulation of Piperacillin/Tazobactam for Dosing Optimization in Late Elderly Patients with Pneumonia. Antibiotics 2020, 9, 113. https://doi.org/10.3390/antibiotics9030113</w:t>
      </w:r>
    </w:p>
    <w:p>
      <w:pPr>
        <w:pStyle w:val="style0"/>
        <w:spacing w:lineRule="auto" w:line="240"/>
        <w:rPr>
          <w:rFonts w:ascii="Times New Roman" w:hAnsi="Times New Roman"/>
          <w:sz w:val="24"/>
          <w:szCs w:val="24"/>
        </w:rPr>
      </w:pPr>
      <w:r>
        <w:rPr>
          <w:rFonts w:ascii="Times New Roman" w:hAnsi="Times New Roman"/>
          <w:sz w:val="24"/>
          <w:szCs w:val="24"/>
        </w:rPr>
        <w:t>12. Hiemke C, Bergemann N, Clement HW, Conca A, Deckert J, Domschke K, Eckermann G, Egberts K, Gerlach M, Greiner C, Gründer G. Consensus guidelines for therapeutic drug monitoring in neuropsychopharmacology: update 2017. Pharmacopsychiatry. 2018 Jan;51(01/02):9-62.</w:t>
      </w:r>
    </w:p>
    <w:p>
      <w:pPr>
        <w:pStyle w:val="style0"/>
        <w:spacing w:lineRule="auto" w:line="240"/>
        <w:rPr>
          <w:rFonts w:ascii="Times New Roman" w:hAnsi="Times New Roman"/>
          <w:sz w:val="24"/>
          <w:szCs w:val="24"/>
        </w:rPr>
      </w:pPr>
      <w:r>
        <w:rPr>
          <w:rFonts w:ascii="Times New Roman" w:hAnsi="Times New Roman"/>
          <w:sz w:val="24"/>
          <w:szCs w:val="24"/>
        </w:rPr>
        <w:t xml:space="preserve">13. Mclachlan, Andrew. (2016). Therapeutic Drug Monitoring in Older People. 10.1016/B978-0-12-802025-8.00009-X. </w:t>
      </w:r>
    </w:p>
    <w:p>
      <w:pPr>
        <w:pStyle w:val="style0"/>
        <w:spacing w:lineRule="auto" w:line="240"/>
        <w:rPr>
          <w:rFonts w:ascii="Times New Roman" w:hAnsi="Times New Roman"/>
          <w:sz w:val="24"/>
          <w:szCs w:val="24"/>
        </w:rPr>
      </w:pPr>
      <w:r>
        <w:rPr>
          <w:rFonts w:ascii="Times New Roman" w:hAnsi="Times New Roman"/>
          <w:sz w:val="24"/>
          <w:szCs w:val="24"/>
        </w:rPr>
        <w:t>14. Ghiculescu R. Therapeutic drug monitoring: which drugs, why, when and how to do it. Aust Prescr 2008;31:42-4. https://doi.org/10.18773/austprescr.2008.025</w:t>
      </w:r>
    </w:p>
    <w:p>
      <w:pPr>
        <w:pStyle w:val="style0"/>
        <w:spacing w:lineRule="auto" w:line="240"/>
        <w:rPr>
          <w:rFonts w:ascii="Times New Roman" w:hAnsi="Times New Roman"/>
          <w:sz w:val="24"/>
          <w:szCs w:val="24"/>
        </w:rPr>
      </w:pPr>
      <w:r>
        <w:rPr>
          <w:rFonts w:ascii="Times New Roman" w:hAnsi="Times New Roman"/>
          <w:sz w:val="24"/>
          <w:szCs w:val="24"/>
        </w:rPr>
        <w:t>15. Montero, J., Rich, R. EFFECT OF STANDARD PIPERACILLIN/TAZOBACTAM DOSING IN OBESE VERSUS NON-OBESE SEPTIC PATIENTS, Critical Care Medicine: January 2019 - Volume 47 - Issue 1 - p 267 doi: 10.1097/01.ccm.0000551326.54709.e5</w:t>
      </w:r>
    </w:p>
    <w:p>
      <w:pPr>
        <w:pStyle w:val="style0"/>
        <w:spacing w:lineRule="auto" w:line="240"/>
        <w:rPr>
          <w:rFonts w:ascii="Times New Roman" w:hAnsi="Times New Roman"/>
          <w:sz w:val="24"/>
          <w:szCs w:val="24"/>
        </w:rPr>
      </w:pP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1</w:t>
    </w:r>
    <w:r>
      <w:rPr>
        <w:noProof/>
      </w:rPr>
      <w:fldChar w:fldCharType="end"/>
    </w:r>
  </w:p>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GB" w:bidi="ar-SA" w:eastAsia="en-GB"/>
      </w:rPr>
    </w:rPrDefault>
    <w:pPrDefault>
      <w:pPr/>
    </w:pPrDefault>
  </w:docDefaults>
  <w:style w:type="paragraph" w:default="1" w:styleId="style0">
    <w:name w:val="Normal"/>
    <w:next w:val="style0"/>
    <w:qFormat/>
    <w:pPr>
      <w:spacing w:after="200" w:lineRule="auto" w:line="276"/>
    </w:pPr>
    <w:rPr>
      <w:sz w:val="22"/>
      <w:szCs w:val="22"/>
      <w:lang w:val="en-US"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pPr>
      <w:spacing w:after="0"/>
      <w:ind w:left="720"/>
    </w:pPr>
    <w:rPr>
      <w:sz w:val="21"/>
    </w:rPr>
  </w:style>
  <w:style w:type="paragraph" w:styleId="style31">
    <w:name w:val="header"/>
    <w:basedOn w:val="style0"/>
    <w:next w:val="style31"/>
    <w:link w:val="style4097"/>
    <w:uiPriority w:val="99"/>
    <w:pPr>
      <w:tabs>
        <w:tab w:val="center" w:leader="none" w:pos="4513"/>
        <w:tab w:val="right" w:leader="none" w:pos="9026"/>
      </w:tabs>
    </w:pPr>
    <w:rPr/>
  </w:style>
  <w:style w:type="character" w:customStyle="1" w:styleId="style4097">
    <w:name w:val="Header Char_2cb73af6-00c0-4c46-bd3d-4505a6f10644"/>
    <w:next w:val="style4097"/>
    <w:link w:val="style31"/>
    <w:uiPriority w:val="99"/>
    <w:rPr>
      <w:sz w:val="22"/>
      <w:szCs w:val="22"/>
    </w:rPr>
  </w:style>
  <w:style w:type="paragraph" w:styleId="style32">
    <w:name w:val="footer"/>
    <w:basedOn w:val="style0"/>
    <w:next w:val="style32"/>
    <w:link w:val="style4098"/>
    <w:uiPriority w:val="99"/>
    <w:pPr>
      <w:tabs>
        <w:tab w:val="center" w:leader="none" w:pos="4513"/>
        <w:tab w:val="right" w:leader="none" w:pos="9026"/>
      </w:tabs>
    </w:pPr>
    <w:rPr/>
  </w:style>
  <w:style w:type="character" w:customStyle="1" w:styleId="style4098">
    <w:name w:val="Footer Char_76be6496-4c76-45ec-bf24-8c0c3fb163a9"/>
    <w:next w:val="style4098"/>
    <w:link w:val="style32"/>
    <w:uiPriority w:val="99"/>
    <w:rPr>
      <w:sz w:val="22"/>
      <w:szCs w:val="22"/>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1567</Words>
  <Pages>6</Pages>
  <Characters>8961</Characters>
  <Application>WPS Office</Application>
  <DocSecurity>0</DocSecurity>
  <Paragraphs>72</Paragraphs>
  <ScaleCrop>false</ScaleCrop>
  <LinksUpToDate>false</LinksUpToDate>
  <CharactersWithSpaces>10493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2021-04-21T12:59:00Z</dcterms:created>
  <dc:creator>Infinix X650D</dc:creator>
  <lastModifiedBy>Infinix X650D</lastModifiedBy>
  <dcterms:modified xsi:type="dcterms:W3CDTF">2021-04-28T08:41:12Z</dcterms:modified>
  <revision>2</revision>
</coreProperties>
</file>

<file path=docProps/custom.xml><?xml version="1.0" encoding="utf-8"?>
<Properties xmlns="http://schemas.openxmlformats.org/officeDocument/2006/custom-properties" xmlns:vt="http://schemas.openxmlformats.org/officeDocument/2006/docPropsVTypes"/>
</file>